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SINEAX </w:t>
      </w:r>
      <w:r w:rsidR="00B8454C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DM5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1867061" cy="135175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35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Der SINEAX </w:t>
      </w:r>
      <w:r w:rsidR="00B8454C">
        <w:rPr>
          <w:rFonts w:ascii="Calibri" w:hAnsi="Calibri" w:cs="Calibri"/>
          <w:color w:val="000000"/>
          <w:sz w:val="22"/>
          <w:szCs w:val="20"/>
        </w:rPr>
        <w:t>DM5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000 ist ein Kompaktgerät für die Messung und Überwachung in Starkstrom-Netzen. </w:t>
      </w:r>
      <w:r w:rsidR="00B8454C">
        <w:rPr>
          <w:rFonts w:ascii="Calibri" w:hAnsi="Calibri" w:cs="Calibri"/>
          <w:color w:val="000000"/>
          <w:sz w:val="22"/>
          <w:szCs w:val="20"/>
        </w:rPr>
        <w:t xml:space="preserve">Er </w:t>
      </w:r>
      <w:r w:rsidR="00B8454C" w:rsidRPr="000F0A73">
        <w:rPr>
          <w:rFonts w:ascii="Calibri" w:hAnsi="Calibri" w:cs="Calibri"/>
          <w:color w:val="000000"/>
          <w:sz w:val="22"/>
          <w:szCs w:val="20"/>
        </w:rPr>
        <w:t>stellt eine breite Funktionalität zur Verfügung, welche sich mit optionalen Komponenten noch weiter ausbauen lässt.</w:t>
      </w:r>
      <w:r w:rsidR="00B8454C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>Die Anbindung des Prozess-Umfelds kann mit Hilfe von Kommunikations-Schnittstellen, über digitale I/Os, Analogausgänge oder Relais vorgenommen werden. Das optionale Display besticht durch die Qualität der Anzeige und intuitive Vorort-Bedienung.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C01B96" w:rsidRPr="00106E16" w:rsidRDefault="00B8454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t xml:space="preserve">Das Gerät kann sowohl über einen Webserver als auch über das optionale TFT-Display </w:t>
      </w:r>
      <w:r>
        <w:rPr>
          <w:rFonts w:ascii="Calibri" w:hAnsi="Calibri" w:cs="Calibri"/>
          <w:color w:val="000000"/>
          <w:sz w:val="22"/>
          <w:szCs w:val="20"/>
        </w:rPr>
        <w:t xml:space="preserve">(320x240px) </w:t>
      </w:r>
      <w:r w:rsidRPr="00B8454C">
        <w:rPr>
          <w:rFonts w:ascii="Calibri" w:hAnsi="Calibri" w:cs="Calibri"/>
          <w:color w:val="000000"/>
          <w:sz w:val="22"/>
          <w:szCs w:val="20"/>
        </w:rPr>
        <w:t xml:space="preserve">an die Anforderungen vor Ort angepasst werden. </w:t>
      </w:r>
      <w:r w:rsidR="00BA34CD">
        <w:rPr>
          <w:rFonts w:ascii="Calibri" w:hAnsi="Calibri" w:cs="Calibri"/>
          <w:color w:val="000000"/>
          <w:sz w:val="22"/>
          <w:szCs w:val="20"/>
        </w:rPr>
        <w:t>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EB606E" w:rsidRDefault="00EB606E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Berei</w:t>
      </w:r>
      <w:r w:rsidR="00CD4458">
        <w:rPr>
          <w:rFonts w:ascii="Calibri" w:hAnsi="Calibri" w:cs="Calibri"/>
          <w:color w:val="000000"/>
          <w:sz w:val="22"/>
          <w:szCs w:val="20"/>
        </w:rPr>
        <w:t>tstellung aller Spannungen, Ströme, Leistungen, Leistungsfaktoren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 xml:space="preserve">alle </w:t>
      </w:r>
      <w:r>
        <w:rPr>
          <w:rFonts w:ascii="Calibri" w:hAnsi="Calibri" w:cs="Calibri"/>
          <w:color w:val="000000"/>
          <w:sz w:val="22"/>
          <w:szCs w:val="20"/>
        </w:rPr>
        <w:t>10/12 Perioden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Erweiterte Blindleistungsanalyse</w:t>
      </w:r>
    </w:p>
    <w:p w:rsidR="00CD4458" w:rsidRPr="00106E16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217727" w:rsidRPr="00106E16" w:rsidRDefault="00217727" w:rsidP="00217727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>
        <w:rPr>
          <w:rFonts w:ascii="Calibri" w:hAnsi="Calibri" w:cs="Calibri"/>
          <w:color w:val="000000"/>
          <w:sz w:val="22"/>
          <w:szCs w:val="20"/>
        </w:rPr>
        <w:t>energie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Klasse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>
        <w:rPr>
          <w:rFonts w:ascii="Calibri" w:hAnsi="Calibri" w:cs="Calibri"/>
          <w:color w:val="000000"/>
          <w:sz w:val="22"/>
          <w:szCs w:val="20"/>
        </w:rPr>
        <w:t>, Blindenergie Klasse 0.5S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 (HT/NT, Bezug/Abgabe)</w:t>
      </w:r>
      <w:r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3106D3" w:rsidRDefault="003106D3" w:rsidP="003106D3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Kurvenformdarstellung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3106D3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Bis zu </w:t>
      </w:r>
      <w:r w:rsidR="00B8454C">
        <w:rPr>
          <w:rFonts w:ascii="Calibri" w:hAnsi="Calibri" w:cs="Calibri"/>
          <w:color w:val="000000"/>
          <w:sz w:val="22"/>
          <w:szCs w:val="20"/>
        </w:rPr>
        <w:t>2</w:t>
      </w:r>
      <w:r>
        <w:rPr>
          <w:rFonts w:ascii="Calibri" w:hAnsi="Calibri" w:cs="Calibri"/>
          <w:color w:val="000000"/>
          <w:sz w:val="22"/>
          <w:szCs w:val="20"/>
        </w:rPr>
        <w:t xml:space="preserve"> optionale Module: 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>IEC61850 oder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 xml:space="preserve">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3106D3" w:rsidRPr="00B8454C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t>Ethernet (Modbus/TCP, http/https, NTP, SFTP, SYSLOG)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 xml:space="preserve"> und Modbus/RTU</w:t>
      </w:r>
    </w:p>
    <w:p w:rsidR="003106D3" w:rsidRPr="003E1BB2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8454C">
        <w:rPr>
          <w:rFonts w:ascii="Calibri" w:hAnsi="Calibri" w:cs="Calibri"/>
          <w:color w:val="000000"/>
          <w:sz w:val="22"/>
          <w:szCs w:val="20"/>
          <w:lang w:val="en-US"/>
        </w:rPr>
        <w:t>tional: IEC61850, Profinet I/O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lastRenderedPageBreak/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106D3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1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Messkategorie 600V, CAT III (Spannung), 300V,CAT III (Strom) </w:t>
      </w:r>
    </w:p>
    <w:p w:rsidR="00927B18" w:rsidRPr="00106E16" w:rsidRDefault="00927B18" w:rsidP="00927B18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Optionale USV (5x3 Minuten)</w:t>
      </w:r>
    </w:p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731F47" w:rsidRDefault="00731F47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731F47">
        <w:rPr>
          <w:rFonts w:ascii="Calibri" w:hAnsi="Calibri" w:cs="Calibri"/>
          <w:color w:val="000000"/>
          <w:sz w:val="22"/>
          <w:szCs w:val="20"/>
        </w:rPr>
        <w:t>Gehäuse für Hutschienenmontage 160x110x70mm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/CU/</w:t>
      </w:r>
      <w:r w:rsidR="00D233BF">
        <w:rPr>
          <w:rFonts w:ascii="Calibri" w:hAnsi="Calibri" w:cs="Calibri"/>
          <w:color w:val="000000"/>
          <w:sz w:val="22"/>
          <w:szCs w:val="20"/>
        </w:rPr>
        <w:t>A</w:t>
      </w:r>
      <w:r>
        <w:rPr>
          <w:rFonts w:ascii="Calibri" w:hAnsi="Calibri" w:cs="Calibri"/>
          <w:color w:val="000000"/>
          <w:sz w:val="22"/>
          <w:szCs w:val="20"/>
        </w:rPr>
        <w:t>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927B18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25C20"/>
    <w:rsid w:val="00060FAB"/>
    <w:rsid w:val="00071926"/>
    <w:rsid w:val="000A15CD"/>
    <w:rsid w:val="000A5D3D"/>
    <w:rsid w:val="000B5AD5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6334"/>
    <w:rsid w:val="00197E6D"/>
    <w:rsid w:val="001B098E"/>
    <w:rsid w:val="001C0DBB"/>
    <w:rsid w:val="001C7391"/>
    <w:rsid w:val="001D73A7"/>
    <w:rsid w:val="001F3B19"/>
    <w:rsid w:val="001F4337"/>
    <w:rsid w:val="00217727"/>
    <w:rsid w:val="002816BC"/>
    <w:rsid w:val="002A44D1"/>
    <w:rsid w:val="002A5510"/>
    <w:rsid w:val="002B20A3"/>
    <w:rsid w:val="002C6923"/>
    <w:rsid w:val="002E2A37"/>
    <w:rsid w:val="00304EAD"/>
    <w:rsid w:val="003106D3"/>
    <w:rsid w:val="00323709"/>
    <w:rsid w:val="003B5B34"/>
    <w:rsid w:val="003C5138"/>
    <w:rsid w:val="003E1BB2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82E72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31F47"/>
    <w:rsid w:val="00741091"/>
    <w:rsid w:val="00771D03"/>
    <w:rsid w:val="00780AC9"/>
    <w:rsid w:val="007857F3"/>
    <w:rsid w:val="007E377B"/>
    <w:rsid w:val="007E7993"/>
    <w:rsid w:val="00814251"/>
    <w:rsid w:val="00827213"/>
    <w:rsid w:val="00832E61"/>
    <w:rsid w:val="0083410A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27B18"/>
    <w:rsid w:val="00942BB7"/>
    <w:rsid w:val="009B777C"/>
    <w:rsid w:val="009C675E"/>
    <w:rsid w:val="009D30AD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8454C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233BF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854FE"/>
    <w:rsid w:val="00E95F2E"/>
    <w:rsid w:val="00EB606E"/>
    <w:rsid w:val="00ED7E96"/>
    <w:rsid w:val="00EE4AD9"/>
    <w:rsid w:val="00F22753"/>
    <w:rsid w:val="00F27877"/>
    <w:rsid w:val="00F426D3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7838-9C40-48F6-974A-C8D812D0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6</cp:revision>
  <cp:lastPrinted>2015-05-22T07:45:00Z</cp:lastPrinted>
  <dcterms:created xsi:type="dcterms:W3CDTF">2020-12-15T11:46:00Z</dcterms:created>
  <dcterms:modified xsi:type="dcterms:W3CDTF">2020-12-15T13:27:00Z</dcterms:modified>
</cp:coreProperties>
</file>